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13BE49D4" w:rsidR="00FB6C5D" w:rsidRDefault="00FB6C5D" w:rsidP="00FB6C5D">
      <w:pPr>
        <w:pStyle w:val="3GPPHeader"/>
        <w:spacing w:after="0"/>
        <w:rPr>
          <w:rFonts w:ascii="Arial" w:hAnsi="Arial" w:cs="Arial"/>
          <w:sz w:val="22"/>
        </w:rPr>
      </w:pPr>
      <w:r>
        <w:rPr>
          <w:rFonts w:ascii="Arial" w:hAnsi="Arial" w:cs="Arial"/>
          <w:sz w:val="22"/>
        </w:rPr>
        <w:t>3GPP TSG-RAN2 Meeting #107bis</w:t>
      </w:r>
      <w:r>
        <w:rPr>
          <w:rFonts w:ascii="Arial" w:hAnsi="Arial" w:cs="Arial"/>
          <w:sz w:val="22"/>
        </w:rPr>
        <w:tab/>
      </w:r>
      <w:r w:rsidR="00B85D65" w:rsidRPr="00B85D65">
        <w:rPr>
          <w:rFonts w:ascii="Arial" w:hAnsi="Arial" w:cs="Arial"/>
          <w:sz w:val="22"/>
        </w:rPr>
        <w:t>R2-1913201</w:t>
      </w:r>
    </w:p>
    <w:p w14:paraId="3B74D700" w14:textId="77777777" w:rsidR="00FB6C5D" w:rsidRPr="002E0D28" w:rsidRDefault="00FB6C5D" w:rsidP="00FB6C5D">
      <w:pPr>
        <w:spacing w:after="60"/>
        <w:ind w:left="1985" w:hanging="1985"/>
        <w:rPr>
          <w:rFonts w:cs="Arial"/>
          <w:b/>
          <w:sz w:val="22"/>
        </w:rPr>
      </w:pPr>
      <w:r w:rsidRPr="002E0D28">
        <w:rPr>
          <w:rFonts w:cs="Arial"/>
          <w:b/>
          <w:sz w:val="22"/>
        </w:rPr>
        <w:t>Chongqing, China, 14 - 18 October 2019</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144F8891" w14:textId="77777777" w:rsidR="00B44BB9" w:rsidRDefault="00B44BB9" w:rsidP="00B44BB9">
      <w:pPr>
        <w:pStyle w:val="3GPPHeader"/>
        <w:spacing w:after="120"/>
        <w:rPr>
          <w:rFonts w:ascii="Arial" w:hAnsi="Arial" w:cs="Arial"/>
          <w:b w:val="0"/>
          <w:sz w:val="22"/>
        </w:rPr>
      </w:pPr>
      <w:r>
        <w:rPr>
          <w:rFonts w:ascii="Arial" w:hAnsi="Arial" w:cs="Arial"/>
          <w:sz w:val="22"/>
        </w:rPr>
        <w:t>Agenda Item:</w:t>
      </w:r>
      <w:r>
        <w:rPr>
          <w:rFonts w:ascii="Arial" w:hAnsi="Arial" w:cs="Arial"/>
          <w:sz w:val="22"/>
        </w:rPr>
        <w:tab/>
      </w:r>
      <w:r>
        <w:rPr>
          <w:rFonts w:ascii="Arial" w:hAnsi="Arial" w:cs="Arial"/>
          <w:b w:val="0"/>
          <w:sz w:val="22"/>
          <w:lang w:val="en-US"/>
        </w:rPr>
        <w:t>6.11.5 UE assistance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1CB282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44BB9" w:rsidRPr="00B44BB9">
        <w:rPr>
          <w:rFonts w:ascii="Arial" w:hAnsi="Arial" w:cs="Arial"/>
          <w:b w:val="0"/>
          <w:sz w:val="22"/>
          <w:lang w:val="en-US"/>
        </w:rPr>
        <w:t>UE Assistance Information for SCell configuration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44CD6B3" w:rsidR="00120D47" w:rsidRDefault="004D10CC" w:rsidP="00120D47">
      <w:pPr>
        <w:pStyle w:val="Heading1"/>
      </w:pPr>
      <w:r>
        <w:t>Introduction</w:t>
      </w:r>
    </w:p>
    <w:p w14:paraId="52D57AC0" w14:textId="7FA72582" w:rsidR="000F6079" w:rsidRDefault="000F6079" w:rsidP="000F6079">
      <w:pPr>
        <w:rPr>
          <w:lang w:val="en-GB" w:eastAsia="zh-CN"/>
        </w:rPr>
      </w:pPr>
      <w:r>
        <w:rPr>
          <w:lang w:val="en-GB" w:eastAsia="zh-CN"/>
        </w:rPr>
        <w:t xml:space="preserve">RAN2 discussed UE assistance for </w:t>
      </w:r>
      <w:r w:rsidR="00212646">
        <w:rPr>
          <w:lang w:val="en-GB" w:eastAsia="zh-CN"/>
        </w:rPr>
        <w:t>SCell configuration during RAN2#107, but no agreements were reached:</w:t>
      </w:r>
    </w:p>
    <w:p w14:paraId="623AD521" w14:textId="28309641" w:rsidR="00212646" w:rsidRPr="00212646" w:rsidRDefault="00212646" w:rsidP="00212646">
      <w:pPr>
        <w:pStyle w:val="Doc-text2"/>
        <w:pBdr>
          <w:top w:val="single" w:sz="4" w:space="1" w:color="auto"/>
          <w:left w:val="single" w:sz="4" w:space="4" w:color="auto"/>
          <w:bottom w:val="single" w:sz="4" w:space="1" w:color="auto"/>
          <w:right w:val="single" w:sz="4" w:space="4" w:color="auto"/>
        </w:pBdr>
        <w:ind w:left="1083"/>
        <w:rPr>
          <w:rFonts w:ascii="Times New Roman" w:hAnsi="Times New Roman"/>
          <w:b/>
          <w:bCs/>
          <w:color w:val="C45911" w:themeColor="accent2" w:themeShade="BF"/>
          <w:sz w:val="18"/>
          <w:szCs w:val="18"/>
          <w:lang w:val="en-US"/>
        </w:rPr>
      </w:pPr>
      <w:r w:rsidRPr="00212646">
        <w:rPr>
          <w:rFonts w:ascii="Times New Roman" w:hAnsi="Times New Roman"/>
          <w:b/>
          <w:bCs/>
          <w:color w:val="C45911" w:themeColor="accent2" w:themeShade="BF"/>
          <w:sz w:val="18"/>
          <w:szCs w:val="18"/>
          <w:lang w:val="en-US"/>
        </w:rPr>
        <w:t>Agreements:</w:t>
      </w:r>
      <w:r w:rsidRPr="00212646">
        <w:rPr>
          <w:rFonts w:ascii="Times New Roman" w:hAnsi="Times New Roman"/>
          <w:color w:val="C45911" w:themeColor="accent2" w:themeShade="BF"/>
          <w:sz w:val="18"/>
          <w:szCs w:val="18"/>
          <w:lang w:val="en-US"/>
        </w:rPr>
        <w:t xml:space="preserve"> </w:t>
      </w:r>
    </w:p>
    <w:p w14:paraId="120BF21A" w14:textId="673DE2D3" w:rsidR="00212646" w:rsidRPr="00212646" w:rsidRDefault="00212646" w:rsidP="00212646">
      <w:pPr>
        <w:pStyle w:val="Doc-text2"/>
        <w:pBdr>
          <w:top w:val="single" w:sz="4" w:space="1" w:color="auto"/>
          <w:left w:val="single" w:sz="4" w:space="4" w:color="auto"/>
          <w:bottom w:val="single" w:sz="4" w:space="1" w:color="auto"/>
          <w:right w:val="single" w:sz="4" w:space="4" w:color="auto"/>
        </w:pBdr>
        <w:ind w:left="1083"/>
        <w:rPr>
          <w:rFonts w:ascii="Times New Roman" w:hAnsi="Times New Roman"/>
          <w:color w:val="C45911" w:themeColor="accent2" w:themeShade="BF"/>
          <w:sz w:val="18"/>
          <w:szCs w:val="18"/>
          <w:lang w:val="en-US"/>
        </w:rPr>
      </w:pPr>
      <w:r w:rsidRPr="00212646">
        <w:rPr>
          <w:rFonts w:ascii="Times New Roman" w:hAnsi="Times New Roman"/>
          <w:color w:val="C45911" w:themeColor="accent2" w:themeShade="BF"/>
          <w:sz w:val="18"/>
          <w:szCs w:val="18"/>
          <w:lang w:val="en-US"/>
        </w:rPr>
        <w:t>-</w:t>
      </w:r>
      <w:r w:rsidRPr="00212646">
        <w:rPr>
          <w:rFonts w:ascii="Times New Roman" w:hAnsi="Times New Roman"/>
          <w:color w:val="C45911" w:themeColor="accent2" w:themeShade="BF"/>
          <w:sz w:val="18"/>
          <w:szCs w:val="18"/>
          <w:lang w:val="en-US"/>
        </w:rPr>
        <w:tab/>
        <w:t xml:space="preserve">BWP and SCells UE assistance there is not enough consensus.   </w:t>
      </w:r>
    </w:p>
    <w:p w14:paraId="4A56DABF" w14:textId="50BE2808" w:rsidR="00212646" w:rsidRPr="00212646" w:rsidRDefault="00212646" w:rsidP="00212646">
      <w:pPr>
        <w:spacing w:before="200"/>
        <w:rPr>
          <w:lang w:eastAsia="zh-CN"/>
        </w:rPr>
      </w:pPr>
      <w:r>
        <w:rPr>
          <w:lang w:eastAsia="zh-CN"/>
        </w:rPr>
        <w:t xml:space="preserve">In this contribution a possible way forward is discussed. </w:t>
      </w:r>
    </w:p>
    <w:p w14:paraId="7A0CD871" w14:textId="0D3EDFEA" w:rsidR="00212646" w:rsidRDefault="00212646" w:rsidP="00212646">
      <w:pPr>
        <w:pStyle w:val="Heading1"/>
      </w:pPr>
      <w:bookmarkStart w:id="0" w:name="_Toc242573360"/>
      <w:r>
        <w:t>Discussion</w:t>
      </w:r>
    </w:p>
    <w:p w14:paraId="6E7E1114" w14:textId="77777777" w:rsidR="00B85D65" w:rsidRPr="00B85D65" w:rsidRDefault="00B85D65" w:rsidP="00B85D65">
      <w:pPr>
        <w:rPr>
          <w:lang w:val="en-GB" w:eastAsia="zh-CN"/>
        </w:rPr>
      </w:pPr>
      <w:r w:rsidRPr="00B85D65">
        <w:rPr>
          <w:lang w:val="en-GB" w:eastAsia="zh-CN"/>
        </w:rPr>
        <w:t>RAN2 did not manage to agree on UE assistance for SCell configuration, but RAN2 did make progress [1]. UE assistance signalling for SCell configuration can reduce the UE power consumption for EN-DC and FR2 use case, i.e. two use cases which are generally considered important and critical for UE power consumption.</w:t>
      </w:r>
    </w:p>
    <w:p w14:paraId="75620BB9" w14:textId="77777777" w:rsidR="00B85D65" w:rsidRPr="00B85D65" w:rsidRDefault="00B85D65" w:rsidP="00B85D65">
      <w:pPr>
        <w:rPr>
          <w:lang w:val="en-GB" w:eastAsia="zh-CN"/>
        </w:rPr>
      </w:pPr>
      <w:r w:rsidRPr="00B85D65">
        <w:rPr>
          <w:lang w:val="en-GB" w:eastAsia="zh-CN"/>
        </w:rPr>
        <w:t>In the offline RAN2#107 discussion several companies supported UE assistance for SCell configuration. More specifically 8 companies supported to introduce maximum aggregated DL/UL bandwidth for FR1/FR2 signalling, i.e. introduce a similar IE as defined for UE assistance for overheating in NR. There was also significant support for preferred set of active SCells signalling, and some support for traffic information.</w:t>
      </w:r>
    </w:p>
    <w:p w14:paraId="4D68A1EE" w14:textId="77777777" w:rsidR="00B85D65" w:rsidRPr="00B85D65" w:rsidRDefault="00B85D65" w:rsidP="00B85D65">
      <w:pPr>
        <w:rPr>
          <w:lang w:val="en-GB" w:eastAsia="zh-CN"/>
        </w:rPr>
      </w:pPr>
      <w:r w:rsidRPr="00B85D65">
        <w:rPr>
          <w:lang w:val="en-GB" w:eastAsia="zh-CN"/>
        </w:rPr>
        <w:t>In our view RAN2 should continue to discuss maximum aggregated DL/UL bandwidth for FR1/FR2 signalling, because this information from the UE can provide significant gains for EN-DC/FR2 use cases, and many companies supported this approach. However some issues need to be resolved and some restrictions/limits need to be applied, which we will explain in the following:</w:t>
      </w:r>
    </w:p>
    <w:p w14:paraId="42190CB0" w14:textId="36F01513" w:rsidR="00B85D65" w:rsidRPr="00B85D65" w:rsidRDefault="00B85D65" w:rsidP="00B85D65">
      <w:pPr>
        <w:rPr>
          <w:b/>
          <w:u w:val="single"/>
          <w:lang w:val="en-GB" w:eastAsia="zh-CN"/>
        </w:rPr>
      </w:pPr>
      <w:r w:rsidRPr="00B85D65">
        <w:rPr>
          <w:b/>
          <w:u w:val="single"/>
          <w:lang w:val="en-GB" w:eastAsia="zh-CN"/>
        </w:rPr>
        <w:t>UE assistance</w:t>
      </w:r>
      <w:r w:rsidR="00D6741D">
        <w:rPr>
          <w:b/>
          <w:u w:val="single"/>
          <w:lang w:val="en-GB" w:eastAsia="zh-CN"/>
        </w:rPr>
        <w:t xml:space="preserve"> </w:t>
      </w:r>
      <w:r w:rsidRPr="00B85D65">
        <w:rPr>
          <w:b/>
          <w:u w:val="single"/>
          <w:lang w:val="en-GB" w:eastAsia="zh-CN"/>
        </w:rPr>
        <w:t>for</w:t>
      </w:r>
      <w:r w:rsidR="00D6741D">
        <w:rPr>
          <w:b/>
          <w:u w:val="single"/>
          <w:lang w:val="en-GB" w:eastAsia="zh-CN"/>
        </w:rPr>
        <w:t xml:space="preserve"> the purpose of</w:t>
      </w:r>
      <w:r w:rsidRPr="00B85D65">
        <w:rPr>
          <w:b/>
          <w:u w:val="single"/>
          <w:lang w:val="en-GB" w:eastAsia="zh-CN"/>
        </w:rPr>
        <w:t xml:space="preserve"> SCell configuration</w:t>
      </w:r>
    </w:p>
    <w:p w14:paraId="52C8D32D" w14:textId="77777777" w:rsidR="00B85D65" w:rsidRDefault="00B85D65" w:rsidP="00B85D65">
      <w:pPr>
        <w:rPr>
          <w:lang w:val="en-GB" w:eastAsia="zh-CN"/>
        </w:rPr>
      </w:pPr>
      <w:r w:rsidRPr="00B85D65">
        <w:rPr>
          <w:lang w:val="en-GB" w:eastAsia="zh-CN"/>
        </w:rPr>
        <w:t xml:space="preserve">RAN2 discussed a possible clarification of maximum aggregated bandwidth for overheating, but no agreement was reached how to clarify the maximum aggregated bandwidth [2,3]. For overheating it is not explicitly captured whether the aggregated bandwidth applies to the configured or activated SCells, and/or the bandwidth of the active BWP or one of the configured BWPs. In our view this should be clearly specified for the maximum aggregated DL/UL bandwidth for FR1/FR2 signalling. </w:t>
      </w:r>
    </w:p>
    <w:p w14:paraId="5608A4FC" w14:textId="6A6B0706" w:rsidR="00B85D65" w:rsidRDefault="00B85D65" w:rsidP="00B85D65">
      <w:pPr>
        <w:rPr>
          <w:lang w:val="en-GB" w:eastAsia="zh-CN"/>
        </w:rPr>
      </w:pPr>
      <w:r w:rsidRPr="00B85D65">
        <w:rPr>
          <w:lang w:val="en-GB" w:eastAsia="zh-CN"/>
        </w:rPr>
        <w:t>In our view the UE assistance signalling is to assist SCell re-configuration, and the UE should be allowed to indicate when it prefers more or less bandwidth (compared to the current configuration)</w:t>
      </w:r>
      <w:r w:rsidR="00AC0132">
        <w:rPr>
          <w:lang w:val="en-GB" w:eastAsia="zh-CN"/>
        </w:rPr>
        <w:t>:</w:t>
      </w:r>
    </w:p>
    <w:p w14:paraId="26F960C0" w14:textId="51063299" w:rsidR="00AC0132" w:rsidRPr="00B85D65" w:rsidRDefault="00AC0132" w:rsidP="00B85D65">
      <w:pPr>
        <w:rPr>
          <w:lang w:val="en-GB" w:eastAsia="zh-CN"/>
        </w:rPr>
      </w:pPr>
      <w:r w:rsidRPr="00D6741D">
        <w:rPr>
          <w:b/>
          <w:lang w:val="en-GB" w:eastAsia="zh-CN"/>
        </w:rPr>
        <w:t>Proposal 1</w:t>
      </w:r>
      <w:r>
        <w:rPr>
          <w:lang w:val="en-GB" w:eastAsia="zh-CN"/>
        </w:rPr>
        <w:t>: UE assistance</w:t>
      </w:r>
      <w:r w:rsidR="00D6741D">
        <w:rPr>
          <w:lang w:val="en-GB" w:eastAsia="zh-CN"/>
        </w:rPr>
        <w:t xml:space="preserve"> can be provided for SCell</w:t>
      </w:r>
      <w:r w:rsidR="003246EA">
        <w:rPr>
          <w:lang w:val="en-GB" w:eastAsia="zh-CN"/>
        </w:rPr>
        <w:t xml:space="preserve"> RRC</w:t>
      </w:r>
      <w:r w:rsidR="00D6741D">
        <w:rPr>
          <w:lang w:val="en-GB" w:eastAsia="zh-CN"/>
        </w:rPr>
        <w:t xml:space="preserve"> re-configuration</w:t>
      </w:r>
    </w:p>
    <w:p w14:paraId="24AE4AB7" w14:textId="3A53AFED" w:rsidR="00B85D65" w:rsidRPr="00D6741D" w:rsidRDefault="00D6741D" w:rsidP="00B85D65">
      <w:pPr>
        <w:rPr>
          <w:b/>
          <w:u w:val="single"/>
          <w:lang w:val="en-GB" w:eastAsia="zh-CN"/>
        </w:rPr>
      </w:pPr>
      <w:r w:rsidRPr="00D6741D">
        <w:rPr>
          <w:b/>
          <w:u w:val="single"/>
          <w:lang w:val="en-GB" w:eastAsia="zh-CN"/>
        </w:rPr>
        <w:t>UE assistance information</w:t>
      </w:r>
    </w:p>
    <w:p w14:paraId="4D7508ED" w14:textId="77777777" w:rsidR="00B85D65" w:rsidRPr="00B85D65" w:rsidRDefault="00B85D65" w:rsidP="00B85D65">
      <w:pPr>
        <w:rPr>
          <w:lang w:val="en-GB" w:eastAsia="zh-CN"/>
        </w:rPr>
      </w:pPr>
      <w:r w:rsidRPr="00B85D65">
        <w:rPr>
          <w:lang w:val="en-GB" w:eastAsia="zh-CN"/>
        </w:rPr>
        <w:lastRenderedPageBreak/>
        <w:t xml:space="preserve">In our view the semi-static UE assistance signalling is intended to support RRC (re-)configuration, and the UE assistance signalling is not intended to support SCell activation/de-activation or BPW switching, which adaptation may happen on a much shorter time scale. We do not see to need for detailed UE assistance of individual SCells to be activated, or specific BWPs to switch to. In our view the NW can do proper SCell activation/BWP switching based on BSR reporting and DL buffer status, i.e. NW can dynamically adapt to instantaneous traffic bursts. </w:t>
      </w:r>
    </w:p>
    <w:p w14:paraId="1DE439A7" w14:textId="3FB38DED" w:rsidR="00B85D65" w:rsidRPr="00B85D65" w:rsidRDefault="00B85D65" w:rsidP="00B85D65">
      <w:pPr>
        <w:rPr>
          <w:lang w:val="en-GB" w:eastAsia="zh-CN"/>
        </w:rPr>
      </w:pPr>
      <w:r w:rsidRPr="00B85D65">
        <w:rPr>
          <w:lang w:val="en-GB" w:eastAsia="zh-CN"/>
        </w:rPr>
        <w:t xml:space="preserve">The maximum aggregated DL/UL bandwidth for FR1/FR2 signalling is a possible way forward, however the </w:t>
      </w:r>
      <w:r w:rsidR="00D6741D">
        <w:rPr>
          <w:lang w:val="en-GB" w:eastAsia="zh-CN"/>
        </w:rPr>
        <w:t>information provided by the UE should be introduced</w:t>
      </w:r>
      <w:r w:rsidRPr="00B85D65">
        <w:rPr>
          <w:lang w:val="en-GB" w:eastAsia="zh-CN"/>
        </w:rPr>
        <w:t xml:space="preserve"> in a well-defined manner</w:t>
      </w:r>
      <w:r w:rsidR="002D1657">
        <w:rPr>
          <w:lang w:val="en-GB" w:eastAsia="zh-CN"/>
        </w:rPr>
        <w:t xml:space="preserve">, i.e. the aggregated bandwidth should be determined considering the bandwidths of the active BWPs across the activated serving cells [5]. </w:t>
      </w:r>
    </w:p>
    <w:p w14:paraId="57846F11" w14:textId="20F0EBCF" w:rsidR="00B85D65" w:rsidRPr="00B85D65" w:rsidRDefault="00B85D65" w:rsidP="00B85D65">
      <w:pPr>
        <w:rPr>
          <w:lang w:val="en-GB" w:eastAsia="zh-CN"/>
        </w:rPr>
      </w:pPr>
      <w:r w:rsidRPr="002D1657">
        <w:rPr>
          <w:b/>
          <w:lang w:val="en-GB" w:eastAsia="zh-CN"/>
        </w:rPr>
        <w:t xml:space="preserve">Proposal </w:t>
      </w:r>
      <w:r w:rsidR="002D1657" w:rsidRPr="002D1657">
        <w:rPr>
          <w:b/>
          <w:lang w:val="en-GB" w:eastAsia="zh-CN"/>
        </w:rPr>
        <w:t>2</w:t>
      </w:r>
      <w:r w:rsidRPr="00B85D65">
        <w:rPr>
          <w:lang w:val="en-GB" w:eastAsia="zh-CN"/>
        </w:rPr>
        <w:t xml:space="preserve">: </w:t>
      </w:r>
      <w:r w:rsidR="002D1657">
        <w:rPr>
          <w:lang w:val="en-GB" w:eastAsia="zh-CN"/>
        </w:rPr>
        <w:t>Introduce</w:t>
      </w:r>
      <w:r w:rsidRPr="00B85D65">
        <w:rPr>
          <w:lang w:val="en-GB" w:eastAsia="zh-CN"/>
        </w:rPr>
        <w:t xml:space="preserve"> UE assistance for SCell </w:t>
      </w:r>
      <w:r w:rsidR="003246EA">
        <w:rPr>
          <w:lang w:val="en-GB" w:eastAsia="zh-CN"/>
        </w:rPr>
        <w:t xml:space="preserve">RRC </w:t>
      </w:r>
      <w:r w:rsidR="002D1657">
        <w:rPr>
          <w:lang w:val="en-GB" w:eastAsia="zh-CN"/>
        </w:rPr>
        <w:t>re-</w:t>
      </w:r>
      <w:r w:rsidRPr="00B85D65">
        <w:rPr>
          <w:lang w:val="en-GB" w:eastAsia="zh-CN"/>
        </w:rPr>
        <w:t xml:space="preserve">configuration </w:t>
      </w:r>
      <w:r w:rsidR="002D1657">
        <w:rPr>
          <w:lang w:val="en-GB" w:eastAsia="zh-CN"/>
        </w:rPr>
        <w:t xml:space="preserve">based on the </w:t>
      </w:r>
      <w:r w:rsidRPr="00B85D65">
        <w:rPr>
          <w:lang w:val="en-GB" w:eastAsia="zh-CN"/>
        </w:rPr>
        <w:t>aggregated bandwidth</w:t>
      </w:r>
      <w:r w:rsidR="002D1657">
        <w:rPr>
          <w:lang w:val="en-GB" w:eastAsia="zh-CN"/>
        </w:rPr>
        <w:t xml:space="preserve"> </w:t>
      </w:r>
      <w:bookmarkStart w:id="1" w:name="_GoBack"/>
      <w:r w:rsidR="002D1657">
        <w:rPr>
          <w:lang w:val="en-GB" w:eastAsia="zh-CN"/>
        </w:rPr>
        <w:t xml:space="preserve">calculated over the active BWPs across the </w:t>
      </w:r>
      <w:bookmarkEnd w:id="1"/>
      <w:r w:rsidR="002D1657">
        <w:rPr>
          <w:lang w:val="en-GB" w:eastAsia="zh-CN"/>
        </w:rPr>
        <w:t xml:space="preserve">activated carrier in UL/DL </w:t>
      </w:r>
      <w:r w:rsidRPr="00B85D65">
        <w:rPr>
          <w:lang w:val="en-GB" w:eastAsia="zh-CN"/>
        </w:rPr>
        <w:t>for FR1/FR2.</w:t>
      </w:r>
    </w:p>
    <w:p w14:paraId="5E650D32" w14:textId="77777777" w:rsidR="009D725A" w:rsidRDefault="009D725A" w:rsidP="009D725A">
      <w:pPr>
        <w:pStyle w:val="Heading1"/>
        <w:jc w:val="both"/>
      </w:pPr>
      <w:r>
        <w:t>Summary</w:t>
      </w:r>
      <w:bookmarkEnd w:id="0"/>
    </w:p>
    <w:p w14:paraId="65B81F03" w14:textId="19E07EF6" w:rsidR="001659F2" w:rsidRDefault="001659F2" w:rsidP="001659F2">
      <w:bookmarkStart w:id="2" w:name="_Toc242573361"/>
      <w:r>
        <w:t xml:space="preserve">RAN2 is kindly asked to </w:t>
      </w:r>
      <w:r w:rsidR="00910638">
        <w:t xml:space="preserve">discuss </w:t>
      </w:r>
      <w:r w:rsidR="002D1657" w:rsidRPr="002D1657">
        <w:t>UE Assistance Information for SCell configuration</w:t>
      </w:r>
      <w:r>
        <w:t xml:space="preserve">: </w:t>
      </w:r>
    </w:p>
    <w:p w14:paraId="42FAACE2" w14:textId="77777777" w:rsidR="003246EA" w:rsidRPr="00B85D65" w:rsidRDefault="003246EA" w:rsidP="003246EA">
      <w:pPr>
        <w:rPr>
          <w:lang w:val="en-GB" w:eastAsia="zh-CN"/>
        </w:rPr>
      </w:pPr>
      <w:r w:rsidRPr="00D6741D">
        <w:rPr>
          <w:b/>
          <w:lang w:val="en-GB" w:eastAsia="zh-CN"/>
        </w:rPr>
        <w:t>Proposal 1</w:t>
      </w:r>
      <w:r>
        <w:rPr>
          <w:lang w:val="en-GB" w:eastAsia="zh-CN"/>
        </w:rPr>
        <w:t>: UE assistance can be provided for SCell RRC re-configuration</w:t>
      </w:r>
    </w:p>
    <w:p w14:paraId="7264DA5F" w14:textId="44D46556" w:rsidR="002D1657" w:rsidRPr="00B85D65" w:rsidRDefault="002D1657" w:rsidP="002D1657">
      <w:pPr>
        <w:rPr>
          <w:lang w:val="en-GB" w:eastAsia="zh-CN"/>
        </w:rPr>
      </w:pPr>
      <w:r w:rsidRPr="002D1657">
        <w:rPr>
          <w:b/>
          <w:lang w:val="en-GB" w:eastAsia="zh-CN"/>
        </w:rPr>
        <w:t>Proposal 2</w:t>
      </w:r>
      <w:r w:rsidRPr="00B85D65">
        <w:rPr>
          <w:lang w:val="en-GB" w:eastAsia="zh-CN"/>
        </w:rPr>
        <w:t xml:space="preserve">: </w:t>
      </w:r>
      <w:r>
        <w:rPr>
          <w:lang w:val="en-GB" w:eastAsia="zh-CN"/>
        </w:rPr>
        <w:t>Introduce</w:t>
      </w:r>
      <w:r w:rsidRPr="00B85D65">
        <w:rPr>
          <w:lang w:val="en-GB" w:eastAsia="zh-CN"/>
        </w:rPr>
        <w:t xml:space="preserve"> UE assistance for SCell </w:t>
      </w:r>
      <w:r w:rsidR="003246EA">
        <w:rPr>
          <w:lang w:val="en-GB" w:eastAsia="zh-CN"/>
        </w:rPr>
        <w:t xml:space="preserve">RRC </w:t>
      </w:r>
      <w:r>
        <w:rPr>
          <w:lang w:val="en-GB" w:eastAsia="zh-CN"/>
        </w:rPr>
        <w:t>re-</w:t>
      </w:r>
      <w:r w:rsidRPr="00B85D65">
        <w:rPr>
          <w:lang w:val="en-GB" w:eastAsia="zh-CN"/>
        </w:rPr>
        <w:t xml:space="preserve">configuration </w:t>
      </w:r>
      <w:r>
        <w:rPr>
          <w:lang w:val="en-GB" w:eastAsia="zh-CN"/>
        </w:rPr>
        <w:t xml:space="preserve">based on the </w:t>
      </w:r>
      <w:r w:rsidRPr="00B85D65">
        <w:rPr>
          <w:lang w:val="en-GB" w:eastAsia="zh-CN"/>
        </w:rPr>
        <w:t>aggregated bandwidth</w:t>
      </w:r>
      <w:r>
        <w:rPr>
          <w:lang w:val="en-GB" w:eastAsia="zh-CN"/>
        </w:rPr>
        <w:t xml:space="preserve"> calculated over the active BWPs across the activated carrier in UL/DL </w:t>
      </w:r>
      <w:r w:rsidRPr="00B85D65">
        <w:rPr>
          <w:lang w:val="en-GB" w:eastAsia="zh-CN"/>
        </w:rPr>
        <w:t>for FR1/FR2.</w:t>
      </w:r>
    </w:p>
    <w:p w14:paraId="5A15FD36" w14:textId="77777777" w:rsidR="009D725A" w:rsidRDefault="009D725A" w:rsidP="009D725A">
      <w:pPr>
        <w:pStyle w:val="Heading1"/>
        <w:rPr>
          <w:noProof/>
        </w:rPr>
      </w:pPr>
      <w:r>
        <w:rPr>
          <w:noProof/>
        </w:rPr>
        <w:t>References</w:t>
      </w:r>
      <w:bookmarkEnd w:id="2"/>
    </w:p>
    <w:p w14:paraId="065B35FD" w14:textId="77777777" w:rsidR="00B85D65" w:rsidRPr="00EF4CCE" w:rsidRDefault="00005E89" w:rsidP="00D6741D">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B85D65" w:rsidRPr="00EF4CCE">
          <w:rPr>
            <w:rStyle w:val="Hyperlink"/>
            <w:sz w:val="16"/>
            <w:szCs w:val="16"/>
          </w:rPr>
          <w:t>R2-1911619</w:t>
        </w:r>
      </w:hyperlink>
      <w:r w:rsidR="00B85D65" w:rsidRPr="00EF4CCE">
        <w:rPr>
          <w:sz w:val="16"/>
          <w:szCs w:val="16"/>
        </w:rPr>
        <w:t xml:space="preserve">, </w:t>
      </w:r>
      <w:r w:rsidR="00B85D65" w:rsidRPr="00EF4CCE">
        <w:rPr>
          <w:i/>
          <w:sz w:val="16"/>
          <w:szCs w:val="16"/>
        </w:rPr>
        <w:t>Summary of offline discussion on power savings</w:t>
      </w:r>
      <w:r w:rsidR="00B85D65" w:rsidRPr="00EF4CCE">
        <w:rPr>
          <w:sz w:val="16"/>
          <w:szCs w:val="16"/>
        </w:rPr>
        <w:t>, Qualcomm, Offline report (UE assistance), RAN2#107</w:t>
      </w:r>
    </w:p>
    <w:p w14:paraId="7432E427" w14:textId="77777777" w:rsidR="00B85D65" w:rsidRPr="00EF4CCE" w:rsidRDefault="00005E89" w:rsidP="00D6741D">
      <w:pPr>
        <w:numPr>
          <w:ilvl w:val="0"/>
          <w:numId w:val="1"/>
        </w:numPr>
        <w:overflowPunct w:val="0"/>
        <w:autoSpaceDE w:val="0"/>
        <w:autoSpaceDN w:val="0"/>
        <w:adjustRightInd w:val="0"/>
        <w:spacing w:before="60" w:after="60"/>
        <w:textAlignment w:val="baseline"/>
        <w:rPr>
          <w:rStyle w:val="Hyperlink"/>
          <w:rFonts w:cs="Arial"/>
          <w:color w:val="auto"/>
          <w:sz w:val="16"/>
          <w:szCs w:val="16"/>
          <w:u w:val="none"/>
          <w:lang w:val="de-DE"/>
        </w:rPr>
      </w:pPr>
      <w:hyperlink r:id="rId11" w:history="1">
        <w:r w:rsidR="00B85D65" w:rsidRPr="00EF4CCE">
          <w:rPr>
            <w:rStyle w:val="Hyperlink"/>
            <w:sz w:val="16"/>
            <w:szCs w:val="16"/>
          </w:rPr>
          <w:t>R2-1911023</w:t>
        </w:r>
      </w:hyperlink>
      <w:r w:rsidR="00B85D65" w:rsidRPr="00EF4CCE">
        <w:rPr>
          <w:rStyle w:val="Hyperlink"/>
          <w:color w:val="auto"/>
          <w:sz w:val="16"/>
          <w:szCs w:val="16"/>
          <w:u w:val="none"/>
        </w:rPr>
        <w:t xml:space="preserve">, </w:t>
      </w:r>
      <w:r w:rsidR="00B85D65" w:rsidRPr="00EF4CCE">
        <w:rPr>
          <w:rStyle w:val="Hyperlink"/>
          <w:i/>
          <w:color w:val="auto"/>
          <w:sz w:val="16"/>
          <w:szCs w:val="16"/>
          <w:u w:val="none"/>
        </w:rPr>
        <w:t>Clarification of aggregated bandwidth for overheating</w:t>
      </w:r>
      <w:r w:rsidR="00B85D65" w:rsidRPr="00EF4CCE">
        <w:rPr>
          <w:rStyle w:val="Hyperlink"/>
          <w:color w:val="auto"/>
          <w:sz w:val="16"/>
          <w:szCs w:val="16"/>
          <w:u w:val="none"/>
        </w:rPr>
        <w:t>, Huawei,</w:t>
      </w:r>
      <w:r w:rsidR="00B85D65" w:rsidRPr="00EF4CCE">
        <w:rPr>
          <w:rStyle w:val="Hyperlink"/>
          <w:color w:val="auto"/>
          <w:sz w:val="16"/>
          <w:szCs w:val="16"/>
          <w:u w:val="none"/>
        </w:rPr>
        <w:tab/>
        <w:t>DISC, RAN2#107</w:t>
      </w:r>
    </w:p>
    <w:p w14:paraId="5F67A3AD" w14:textId="292AFE93" w:rsidR="00B85D65" w:rsidRPr="00D6741D" w:rsidRDefault="00005E89" w:rsidP="00D6741D">
      <w:pPr>
        <w:numPr>
          <w:ilvl w:val="0"/>
          <w:numId w:val="1"/>
        </w:numPr>
        <w:overflowPunct w:val="0"/>
        <w:autoSpaceDE w:val="0"/>
        <w:autoSpaceDN w:val="0"/>
        <w:adjustRightInd w:val="0"/>
        <w:spacing w:before="60" w:after="60"/>
        <w:textAlignment w:val="baseline"/>
        <w:rPr>
          <w:rStyle w:val="Hyperlink"/>
          <w:rFonts w:cs="Arial"/>
          <w:color w:val="auto"/>
          <w:sz w:val="16"/>
          <w:szCs w:val="16"/>
          <w:u w:val="none"/>
          <w:lang w:val="de-DE"/>
        </w:rPr>
      </w:pPr>
      <w:hyperlink r:id="rId12" w:history="1">
        <w:r w:rsidR="00B85D65" w:rsidRPr="00EF4CCE">
          <w:rPr>
            <w:rStyle w:val="Hyperlink"/>
            <w:sz w:val="16"/>
            <w:szCs w:val="16"/>
          </w:rPr>
          <w:t>R2-1911801</w:t>
        </w:r>
      </w:hyperlink>
      <w:r w:rsidR="00B85D65" w:rsidRPr="00EF4CCE">
        <w:rPr>
          <w:rStyle w:val="Hyperlink"/>
          <w:color w:val="auto"/>
          <w:sz w:val="16"/>
          <w:szCs w:val="16"/>
          <w:u w:val="none"/>
        </w:rPr>
        <w:t xml:space="preserve">, </w:t>
      </w:r>
      <w:r w:rsidR="00B85D65" w:rsidRPr="00EF4CCE">
        <w:rPr>
          <w:rStyle w:val="Hyperlink"/>
          <w:i/>
          <w:color w:val="auto"/>
          <w:sz w:val="16"/>
          <w:szCs w:val="16"/>
          <w:u w:val="none"/>
        </w:rPr>
        <w:t>CR on clarification of</w:t>
      </w:r>
      <w:r w:rsidR="00B85D65" w:rsidRPr="00C400DB">
        <w:rPr>
          <w:rStyle w:val="Hyperlink"/>
          <w:i/>
          <w:color w:val="auto"/>
          <w:sz w:val="16"/>
          <w:szCs w:val="16"/>
          <w:u w:val="none"/>
        </w:rPr>
        <w:t xml:space="preserve"> aggregated bandwidth for overheating</w:t>
      </w:r>
      <w:r w:rsidR="00B85D65">
        <w:rPr>
          <w:rStyle w:val="Hyperlink"/>
          <w:color w:val="auto"/>
          <w:sz w:val="16"/>
          <w:szCs w:val="16"/>
          <w:u w:val="none"/>
        </w:rPr>
        <w:t xml:space="preserve">, </w:t>
      </w:r>
      <w:r w:rsidR="00B85D65" w:rsidRPr="00C400DB">
        <w:rPr>
          <w:rStyle w:val="Hyperlink"/>
          <w:color w:val="auto"/>
          <w:sz w:val="16"/>
          <w:szCs w:val="16"/>
          <w:u w:val="none"/>
        </w:rPr>
        <w:t>Huawei</w:t>
      </w:r>
      <w:r w:rsidR="00B85D65">
        <w:rPr>
          <w:rStyle w:val="Hyperlink"/>
          <w:color w:val="auto"/>
          <w:sz w:val="16"/>
          <w:szCs w:val="16"/>
          <w:u w:val="none"/>
        </w:rPr>
        <w:t xml:space="preserve">, </w:t>
      </w:r>
      <w:r w:rsidR="00B85D65" w:rsidRPr="00C400DB">
        <w:rPr>
          <w:rStyle w:val="Hyperlink"/>
          <w:color w:val="auto"/>
          <w:sz w:val="16"/>
          <w:szCs w:val="16"/>
          <w:u w:val="none"/>
        </w:rPr>
        <w:t>CR</w:t>
      </w:r>
      <w:r w:rsidR="00B85D65">
        <w:rPr>
          <w:rStyle w:val="Hyperlink"/>
          <w:color w:val="auto"/>
          <w:sz w:val="16"/>
          <w:szCs w:val="16"/>
          <w:u w:val="none"/>
        </w:rPr>
        <w:t xml:space="preserve"> </w:t>
      </w:r>
      <w:r w:rsidR="00B85D65" w:rsidRPr="00C400DB">
        <w:rPr>
          <w:rStyle w:val="Hyperlink"/>
          <w:color w:val="auto"/>
          <w:sz w:val="16"/>
          <w:szCs w:val="16"/>
          <w:u w:val="none"/>
        </w:rPr>
        <w:t>38.331</w:t>
      </w:r>
      <w:r w:rsidR="00B85D65">
        <w:rPr>
          <w:rStyle w:val="Hyperlink"/>
          <w:color w:val="auto"/>
          <w:sz w:val="16"/>
          <w:szCs w:val="16"/>
          <w:u w:val="none"/>
        </w:rPr>
        <w:t>, RAN2#107</w:t>
      </w:r>
    </w:p>
    <w:p w14:paraId="717521FE" w14:textId="1EF6829B" w:rsidR="00D6741D" w:rsidRPr="00D6741D" w:rsidRDefault="00005E89" w:rsidP="00D6741D">
      <w:pPr>
        <w:numPr>
          <w:ilvl w:val="0"/>
          <w:numId w:val="1"/>
        </w:numPr>
        <w:overflowPunct w:val="0"/>
        <w:autoSpaceDE w:val="0"/>
        <w:autoSpaceDN w:val="0"/>
        <w:adjustRightInd w:val="0"/>
        <w:spacing w:before="60" w:after="60"/>
        <w:textAlignment w:val="baseline"/>
        <w:rPr>
          <w:rStyle w:val="Hyperlink"/>
          <w:rFonts w:cs="Arial"/>
          <w:color w:val="auto"/>
          <w:sz w:val="16"/>
          <w:szCs w:val="16"/>
          <w:u w:val="none"/>
          <w:lang w:val="de-DE"/>
        </w:rPr>
      </w:pPr>
      <w:hyperlink r:id="rId13" w:history="1">
        <w:r w:rsidR="00D6741D" w:rsidRPr="00DC6C5D">
          <w:rPr>
            <w:rStyle w:val="Hyperlink"/>
            <w:rFonts w:cs="Arial"/>
            <w:sz w:val="16"/>
            <w:szCs w:val="16"/>
            <w:lang w:val="de-DE"/>
          </w:rPr>
          <w:t>R2-1913685</w:t>
        </w:r>
      </w:hyperlink>
      <w:r w:rsidR="00D6741D">
        <w:rPr>
          <w:rStyle w:val="Hyperlink"/>
          <w:rFonts w:cs="Arial"/>
          <w:color w:val="auto"/>
          <w:sz w:val="16"/>
          <w:szCs w:val="16"/>
          <w:u w:val="none"/>
          <w:lang w:val="de-DE"/>
        </w:rPr>
        <w:t xml:space="preserve">, </w:t>
      </w:r>
      <w:r w:rsidR="00D6741D" w:rsidRPr="00DC6C5D">
        <w:rPr>
          <w:rStyle w:val="Hyperlink"/>
          <w:rFonts w:cs="Arial"/>
          <w:i/>
          <w:color w:val="auto"/>
          <w:sz w:val="16"/>
          <w:szCs w:val="16"/>
          <w:u w:val="none"/>
          <w:lang w:val="de-DE"/>
        </w:rPr>
        <w:t>Clarification for aggregated bandwidth for overheating</w:t>
      </w:r>
      <w:r w:rsidR="00D6741D">
        <w:rPr>
          <w:rStyle w:val="Hyperlink"/>
          <w:rFonts w:cs="Arial"/>
          <w:color w:val="auto"/>
          <w:sz w:val="16"/>
          <w:szCs w:val="16"/>
          <w:u w:val="none"/>
          <w:lang w:val="de-DE"/>
        </w:rPr>
        <w:t>, Huawei, Ericsson, CR 38.331, REL-15, RAN2#107bis</w:t>
      </w:r>
    </w:p>
    <w:sectPr w:rsidR="00D6741D" w:rsidRPr="00D6741D"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FA7C6" w14:textId="77777777" w:rsidR="00005E89" w:rsidRDefault="00005E89">
      <w:r>
        <w:separator/>
      </w:r>
    </w:p>
  </w:endnote>
  <w:endnote w:type="continuationSeparator" w:id="0">
    <w:p w14:paraId="04B25A7F" w14:textId="77777777" w:rsidR="00005E89" w:rsidRDefault="0000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10057" w14:textId="77777777" w:rsidR="00005E89" w:rsidRDefault="00005E89">
      <w:r>
        <w:separator/>
      </w:r>
    </w:p>
  </w:footnote>
  <w:footnote w:type="continuationSeparator" w:id="0">
    <w:p w14:paraId="50CB971A" w14:textId="77777777" w:rsidR="00005E89" w:rsidRDefault="00005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0121E"/>
    <w:multiLevelType w:val="hybridMultilevel"/>
    <w:tmpl w:val="8856D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A762BE2"/>
    <w:multiLevelType w:val="hybridMultilevel"/>
    <w:tmpl w:val="CA7686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6F093C"/>
    <w:multiLevelType w:val="hybridMultilevel"/>
    <w:tmpl w:val="C74E7634"/>
    <w:lvl w:ilvl="0" w:tplc="3DE034F4">
      <w:start w:val="1"/>
      <w:numFmt w:val="bullet"/>
      <w:lvlText w:val="—"/>
      <w:lvlJc w:val="left"/>
      <w:pPr>
        <w:tabs>
          <w:tab w:val="num" w:pos="357"/>
        </w:tabs>
        <w:ind w:left="357" w:hanging="360"/>
      </w:pPr>
      <w:rPr>
        <w:rFonts w:ascii="Ericsson Hilda Light" w:hAnsi="Ericsson Hilda Light" w:hint="default"/>
      </w:rPr>
    </w:lvl>
    <w:lvl w:ilvl="1" w:tplc="D97ACD34">
      <w:start w:val="180"/>
      <w:numFmt w:val="bullet"/>
      <w:lvlText w:val="—"/>
      <w:lvlJc w:val="left"/>
      <w:pPr>
        <w:tabs>
          <w:tab w:val="num" w:pos="1077"/>
        </w:tabs>
        <w:ind w:left="1077" w:hanging="360"/>
      </w:pPr>
      <w:rPr>
        <w:rFonts w:ascii="Ericsson Hilda Light" w:hAnsi="Ericsson Hilda Light" w:hint="default"/>
      </w:rPr>
    </w:lvl>
    <w:lvl w:ilvl="2" w:tplc="EAB49BF6">
      <w:start w:val="1"/>
      <w:numFmt w:val="bullet"/>
      <w:lvlText w:val="—"/>
      <w:lvlJc w:val="left"/>
      <w:pPr>
        <w:tabs>
          <w:tab w:val="num" w:pos="1797"/>
        </w:tabs>
        <w:ind w:left="1797" w:hanging="360"/>
      </w:pPr>
      <w:rPr>
        <w:rFonts w:ascii="Ericsson Hilda Light" w:hAnsi="Ericsson Hilda Light" w:hint="default"/>
      </w:rPr>
    </w:lvl>
    <w:lvl w:ilvl="3" w:tplc="C4EAD412">
      <w:start w:val="1"/>
      <w:numFmt w:val="bullet"/>
      <w:lvlText w:val="—"/>
      <w:lvlJc w:val="left"/>
      <w:pPr>
        <w:tabs>
          <w:tab w:val="num" w:pos="2517"/>
        </w:tabs>
        <w:ind w:left="2517" w:hanging="360"/>
      </w:pPr>
      <w:rPr>
        <w:rFonts w:ascii="Ericsson Hilda Light" w:hAnsi="Ericsson Hilda Light" w:hint="default"/>
      </w:rPr>
    </w:lvl>
    <w:lvl w:ilvl="4" w:tplc="2D70744A">
      <w:start w:val="1"/>
      <w:numFmt w:val="bullet"/>
      <w:lvlText w:val="—"/>
      <w:lvlJc w:val="left"/>
      <w:pPr>
        <w:tabs>
          <w:tab w:val="num" w:pos="3237"/>
        </w:tabs>
        <w:ind w:left="3237" w:hanging="360"/>
      </w:pPr>
      <w:rPr>
        <w:rFonts w:ascii="Ericsson Hilda Light" w:hAnsi="Ericsson Hilda Light" w:hint="default"/>
      </w:rPr>
    </w:lvl>
    <w:lvl w:ilvl="5" w:tplc="AF9EF4EA">
      <w:start w:val="1"/>
      <w:numFmt w:val="bullet"/>
      <w:lvlText w:val="—"/>
      <w:lvlJc w:val="left"/>
      <w:pPr>
        <w:tabs>
          <w:tab w:val="num" w:pos="3957"/>
        </w:tabs>
        <w:ind w:left="3957" w:hanging="360"/>
      </w:pPr>
      <w:rPr>
        <w:rFonts w:ascii="Ericsson Hilda Light" w:hAnsi="Ericsson Hilda Light" w:hint="default"/>
      </w:rPr>
    </w:lvl>
    <w:lvl w:ilvl="6" w:tplc="5B785DDA">
      <w:start w:val="1"/>
      <w:numFmt w:val="bullet"/>
      <w:lvlText w:val="—"/>
      <w:lvlJc w:val="left"/>
      <w:pPr>
        <w:tabs>
          <w:tab w:val="num" w:pos="4677"/>
        </w:tabs>
        <w:ind w:left="4677" w:hanging="360"/>
      </w:pPr>
      <w:rPr>
        <w:rFonts w:ascii="Ericsson Hilda Light" w:hAnsi="Ericsson Hilda Light" w:hint="default"/>
      </w:rPr>
    </w:lvl>
    <w:lvl w:ilvl="7" w:tplc="CC3E1DDE">
      <w:start w:val="1"/>
      <w:numFmt w:val="bullet"/>
      <w:lvlText w:val="—"/>
      <w:lvlJc w:val="left"/>
      <w:pPr>
        <w:tabs>
          <w:tab w:val="num" w:pos="5397"/>
        </w:tabs>
        <w:ind w:left="5397" w:hanging="360"/>
      </w:pPr>
      <w:rPr>
        <w:rFonts w:ascii="Ericsson Hilda Light" w:hAnsi="Ericsson Hilda Light" w:hint="default"/>
      </w:rPr>
    </w:lvl>
    <w:lvl w:ilvl="8" w:tplc="0DCA4764">
      <w:start w:val="1"/>
      <w:numFmt w:val="bullet"/>
      <w:lvlText w:val="—"/>
      <w:lvlJc w:val="left"/>
      <w:pPr>
        <w:tabs>
          <w:tab w:val="num" w:pos="6117"/>
        </w:tabs>
        <w:ind w:left="6117" w:hanging="360"/>
      </w:pPr>
      <w:rPr>
        <w:rFonts w:ascii="Ericsson Hilda Light" w:hAnsi="Ericsson Hilda Light"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3C6FFE"/>
    <w:multiLevelType w:val="multilevel"/>
    <w:tmpl w:val="C0CE4A1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7D7A1E"/>
    <w:multiLevelType w:val="hybridMultilevel"/>
    <w:tmpl w:val="4E569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D2540F3"/>
    <w:multiLevelType w:val="hybridMultilevel"/>
    <w:tmpl w:val="CED8B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79B1661"/>
    <w:multiLevelType w:val="hybridMultilevel"/>
    <w:tmpl w:val="DF9C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EBE6727"/>
    <w:multiLevelType w:val="hybridMultilevel"/>
    <w:tmpl w:val="340E54A2"/>
    <w:lvl w:ilvl="0" w:tplc="6278001C">
      <w:start w:val="1"/>
      <w:numFmt w:val="bullet"/>
      <w:lvlText w:val="–"/>
      <w:lvlJc w:val="left"/>
      <w:pPr>
        <w:tabs>
          <w:tab w:val="num" w:pos="360"/>
        </w:tabs>
        <w:ind w:left="360" w:hanging="360"/>
      </w:pPr>
      <w:rPr>
        <w:rFonts w:ascii="Ericsson Capital TT" w:hAnsi="Ericsson Capital TT" w:hint="default"/>
      </w:rPr>
    </w:lvl>
    <w:lvl w:ilvl="1" w:tplc="89A88110">
      <w:start w:val="1"/>
      <w:numFmt w:val="bullet"/>
      <w:lvlText w:val="–"/>
      <w:lvlJc w:val="left"/>
      <w:pPr>
        <w:tabs>
          <w:tab w:val="num" w:pos="1080"/>
        </w:tabs>
        <w:ind w:left="1080" w:hanging="360"/>
      </w:pPr>
      <w:rPr>
        <w:rFonts w:ascii="Ericsson Capital TT" w:hAnsi="Ericsson Capital TT" w:hint="default"/>
      </w:rPr>
    </w:lvl>
    <w:lvl w:ilvl="2" w:tplc="CA2CA98E">
      <w:start w:val="270"/>
      <w:numFmt w:val="bullet"/>
      <w:lvlText w:val="›"/>
      <w:lvlJc w:val="left"/>
      <w:pPr>
        <w:tabs>
          <w:tab w:val="num" w:pos="1800"/>
        </w:tabs>
        <w:ind w:left="1800" w:hanging="360"/>
      </w:pPr>
      <w:rPr>
        <w:rFonts w:ascii="Ericsson Capital TT" w:hAnsi="Ericsson Capital TT" w:hint="default"/>
      </w:rPr>
    </w:lvl>
    <w:lvl w:ilvl="3" w:tplc="503C9A12" w:tentative="1">
      <w:start w:val="1"/>
      <w:numFmt w:val="bullet"/>
      <w:lvlText w:val="–"/>
      <w:lvlJc w:val="left"/>
      <w:pPr>
        <w:tabs>
          <w:tab w:val="num" w:pos="2520"/>
        </w:tabs>
        <w:ind w:left="2520" w:hanging="360"/>
      </w:pPr>
      <w:rPr>
        <w:rFonts w:ascii="Ericsson Capital TT" w:hAnsi="Ericsson Capital TT" w:hint="default"/>
      </w:rPr>
    </w:lvl>
    <w:lvl w:ilvl="4" w:tplc="32541638" w:tentative="1">
      <w:start w:val="1"/>
      <w:numFmt w:val="bullet"/>
      <w:lvlText w:val="–"/>
      <w:lvlJc w:val="left"/>
      <w:pPr>
        <w:tabs>
          <w:tab w:val="num" w:pos="3240"/>
        </w:tabs>
        <w:ind w:left="3240" w:hanging="360"/>
      </w:pPr>
      <w:rPr>
        <w:rFonts w:ascii="Ericsson Capital TT" w:hAnsi="Ericsson Capital TT" w:hint="default"/>
      </w:rPr>
    </w:lvl>
    <w:lvl w:ilvl="5" w:tplc="BB624216" w:tentative="1">
      <w:start w:val="1"/>
      <w:numFmt w:val="bullet"/>
      <w:lvlText w:val="–"/>
      <w:lvlJc w:val="left"/>
      <w:pPr>
        <w:tabs>
          <w:tab w:val="num" w:pos="3960"/>
        </w:tabs>
        <w:ind w:left="3960" w:hanging="360"/>
      </w:pPr>
      <w:rPr>
        <w:rFonts w:ascii="Ericsson Capital TT" w:hAnsi="Ericsson Capital TT" w:hint="default"/>
      </w:rPr>
    </w:lvl>
    <w:lvl w:ilvl="6" w:tplc="98F21600" w:tentative="1">
      <w:start w:val="1"/>
      <w:numFmt w:val="bullet"/>
      <w:lvlText w:val="–"/>
      <w:lvlJc w:val="left"/>
      <w:pPr>
        <w:tabs>
          <w:tab w:val="num" w:pos="4680"/>
        </w:tabs>
        <w:ind w:left="4680" w:hanging="360"/>
      </w:pPr>
      <w:rPr>
        <w:rFonts w:ascii="Ericsson Capital TT" w:hAnsi="Ericsson Capital TT" w:hint="default"/>
      </w:rPr>
    </w:lvl>
    <w:lvl w:ilvl="7" w:tplc="78385C0E" w:tentative="1">
      <w:start w:val="1"/>
      <w:numFmt w:val="bullet"/>
      <w:lvlText w:val="–"/>
      <w:lvlJc w:val="left"/>
      <w:pPr>
        <w:tabs>
          <w:tab w:val="num" w:pos="5400"/>
        </w:tabs>
        <w:ind w:left="5400" w:hanging="360"/>
      </w:pPr>
      <w:rPr>
        <w:rFonts w:ascii="Ericsson Capital TT" w:hAnsi="Ericsson Capital TT" w:hint="default"/>
      </w:rPr>
    </w:lvl>
    <w:lvl w:ilvl="8" w:tplc="0F78D018"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76AB5307"/>
    <w:multiLevelType w:val="hybridMultilevel"/>
    <w:tmpl w:val="C85C0124"/>
    <w:lvl w:ilvl="0" w:tplc="04090001">
      <w:start w:val="1"/>
      <w:numFmt w:val="bullet"/>
      <w:lvlText w:val=""/>
      <w:lvlJc w:val="left"/>
      <w:pPr>
        <w:ind w:left="420" w:hanging="420"/>
      </w:pPr>
      <w:rPr>
        <w:rFonts w:ascii="Symbol" w:hAnsi="Symbol" w:hint="default"/>
      </w:rPr>
    </w:lvl>
    <w:lvl w:ilvl="1" w:tplc="CB2A9EBE">
      <w:start w:val="1"/>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3"/>
  </w:num>
  <w:num w:numId="10">
    <w:abstractNumId w:val="2"/>
  </w:num>
  <w:num w:numId="11">
    <w:abstractNumId w:val="6"/>
  </w:num>
  <w:num w:numId="12">
    <w:abstractNumId w:val="8"/>
  </w:num>
  <w:num w:numId="13">
    <w:abstractNumId w:val="0"/>
  </w:num>
  <w:num w:numId="1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5E89"/>
    <w:rsid w:val="00006CE2"/>
    <w:rsid w:val="00011902"/>
    <w:rsid w:val="00012285"/>
    <w:rsid w:val="00013C93"/>
    <w:rsid w:val="00020287"/>
    <w:rsid w:val="00020FFE"/>
    <w:rsid w:val="0002181B"/>
    <w:rsid w:val="00027BEA"/>
    <w:rsid w:val="00033897"/>
    <w:rsid w:val="000343D3"/>
    <w:rsid w:val="000362CF"/>
    <w:rsid w:val="0004162A"/>
    <w:rsid w:val="000464BA"/>
    <w:rsid w:val="0004760F"/>
    <w:rsid w:val="00054991"/>
    <w:rsid w:val="000559F7"/>
    <w:rsid w:val="000568D8"/>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2D"/>
    <w:rsid w:val="000C0661"/>
    <w:rsid w:val="000C2CCE"/>
    <w:rsid w:val="000C3430"/>
    <w:rsid w:val="000C4330"/>
    <w:rsid w:val="000C6C63"/>
    <w:rsid w:val="000D1253"/>
    <w:rsid w:val="000D2C35"/>
    <w:rsid w:val="000E2DC8"/>
    <w:rsid w:val="000E47A9"/>
    <w:rsid w:val="000E6807"/>
    <w:rsid w:val="000F2D1B"/>
    <w:rsid w:val="000F6079"/>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3AF0"/>
    <w:rsid w:val="001C6BCF"/>
    <w:rsid w:val="001D01C0"/>
    <w:rsid w:val="001D5744"/>
    <w:rsid w:val="001D5EC7"/>
    <w:rsid w:val="001E6A9C"/>
    <w:rsid w:val="001F13E9"/>
    <w:rsid w:val="001F5CA1"/>
    <w:rsid w:val="002013B3"/>
    <w:rsid w:val="002114D0"/>
    <w:rsid w:val="00211629"/>
    <w:rsid w:val="00212646"/>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D1657"/>
    <w:rsid w:val="002E0414"/>
    <w:rsid w:val="002E083F"/>
    <w:rsid w:val="002E0D28"/>
    <w:rsid w:val="002E1A79"/>
    <w:rsid w:val="002E4760"/>
    <w:rsid w:val="002F3825"/>
    <w:rsid w:val="002F4578"/>
    <w:rsid w:val="002F703D"/>
    <w:rsid w:val="00306D5D"/>
    <w:rsid w:val="00310765"/>
    <w:rsid w:val="00314A99"/>
    <w:rsid w:val="00321A47"/>
    <w:rsid w:val="00322341"/>
    <w:rsid w:val="003246EA"/>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B5CD6"/>
    <w:rsid w:val="003C1556"/>
    <w:rsid w:val="003C1C5D"/>
    <w:rsid w:val="003C50C2"/>
    <w:rsid w:val="003D09AA"/>
    <w:rsid w:val="003D49F3"/>
    <w:rsid w:val="003D645F"/>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3CC3"/>
    <w:rsid w:val="005241C8"/>
    <w:rsid w:val="0052581A"/>
    <w:rsid w:val="00532DB1"/>
    <w:rsid w:val="00542513"/>
    <w:rsid w:val="005433FA"/>
    <w:rsid w:val="00545B4A"/>
    <w:rsid w:val="00545B6C"/>
    <w:rsid w:val="00552732"/>
    <w:rsid w:val="00555E44"/>
    <w:rsid w:val="005575FA"/>
    <w:rsid w:val="00560550"/>
    <w:rsid w:val="00564D25"/>
    <w:rsid w:val="00566CF0"/>
    <w:rsid w:val="005677D3"/>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551B"/>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23E4"/>
    <w:rsid w:val="007B6031"/>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15E1"/>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0AFA"/>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68E4"/>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09"/>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132"/>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BB9"/>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0FAF"/>
    <w:rsid w:val="00B843DF"/>
    <w:rsid w:val="00B85A59"/>
    <w:rsid w:val="00B85D65"/>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181F"/>
    <w:rsid w:val="00BE4B38"/>
    <w:rsid w:val="00BE4D1B"/>
    <w:rsid w:val="00BF69E7"/>
    <w:rsid w:val="00BF7D26"/>
    <w:rsid w:val="00C02D53"/>
    <w:rsid w:val="00C04BF5"/>
    <w:rsid w:val="00C04DC6"/>
    <w:rsid w:val="00C06FAE"/>
    <w:rsid w:val="00C0713B"/>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5826"/>
    <w:rsid w:val="00D4768F"/>
    <w:rsid w:val="00D50863"/>
    <w:rsid w:val="00D518CA"/>
    <w:rsid w:val="00D53C43"/>
    <w:rsid w:val="00D55275"/>
    <w:rsid w:val="00D56465"/>
    <w:rsid w:val="00D565E3"/>
    <w:rsid w:val="00D56A5F"/>
    <w:rsid w:val="00D60A8B"/>
    <w:rsid w:val="00D63F57"/>
    <w:rsid w:val="00D64441"/>
    <w:rsid w:val="00D6741D"/>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C6C5D"/>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1C4C"/>
    <w:rsid w:val="00EC2535"/>
    <w:rsid w:val="00EC4601"/>
    <w:rsid w:val="00EC5518"/>
    <w:rsid w:val="00EC76DA"/>
    <w:rsid w:val="00ED64D6"/>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38E"/>
    <w:rsid w:val="00F2498D"/>
    <w:rsid w:val="00F2538D"/>
    <w:rsid w:val="00F259D8"/>
    <w:rsid w:val="00F26244"/>
    <w:rsid w:val="00F26D58"/>
    <w:rsid w:val="00F31234"/>
    <w:rsid w:val="00F31368"/>
    <w:rsid w:val="00F32EF1"/>
    <w:rsid w:val="00F33BD6"/>
    <w:rsid w:val="00F342CC"/>
    <w:rsid w:val="00F40933"/>
    <w:rsid w:val="00F42E1E"/>
    <w:rsid w:val="00F51F15"/>
    <w:rsid w:val="00F541D9"/>
    <w:rsid w:val="00F558B4"/>
    <w:rsid w:val="00F55A37"/>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BodyTextChar">
    <w:name w:val="Body Text Char"/>
    <w:aliases w:val="bt Char"/>
    <w:basedOn w:val="DefaultParagraphFont"/>
    <w:link w:val="BodyText"/>
    <w:locked/>
    <w:rsid w:val="009D68E4"/>
    <w:rPr>
      <w:rFonts w:ascii="Times New Roman" w:eastAsia="MS Gothic" w:hAnsi="Times New Roman"/>
      <w:sz w:val="24"/>
      <w:lang w:eastAsia="ja-JP"/>
    </w:rPr>
  </w:style>
  <w:style w:type="paragraph" w:styleId="BodyText">
    <w:name w:val="Body Text"/>
    <w:aliases w:val="bt"/>
    <w:basedOn w:val="Normal"/>
    <w:link w:val="BodyTextChar"/>
    <w:unhideWhenUsed/>
    <w:rsid w:val="009D68E4"/>
    <w:pPr>
      <w:spacing w:after="120"/>
    </w:pPr>
    <w:rPr>
      <w:rFonts w:ascii="Times New Roman" w:eastAsia="MS Gothic" w:hAnsi="Times New Roman"/>
      <w:sz w:val="24"/>
      <w:szCs w:val="20"/>
      <w:lang w:val="en-GB" w:eastAsia="ja-JP"/>
    </w:rPr>
  </w:style>
  <w:style w:type="character" w:customStyle="1" w:styleId="BodyTextChar1">
    <w:name w:val="Body Text Char1"/>
    <w:basedOn w:val="DefaultParagraphFont"/>
    <w:uiPriority w:val="99"/>
    <w:semiHidden/>
    <w:rsid w:val="009D68E4"/>
    <w:rPr>
      <w:rFonts w:ascii="Arial" w:hAnsi="Arial"/>
      <w:szCs w:val="22"/>
      <w:lang w:val="en-US"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F541D9"/>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24059">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49435468">
      <w:bodyDiv w:val="1"/>
      <w:marLeft w:val="0"/>
      <w:marRight w:val="0"/>
      <w:marTop w:val="0"/>
      <w:marBottom w:val="0"/>
      <w:divBdr>
        <w:top w:val="none" w:sz="0" w:space="0" w:color="auto"/>
        <w:left w:val="none" w:sz="0" w:space="0" w:color="auto"/>
        <w:bottom w:val="none" w:sz="0" w:space="0" w:color="auto"/>
        <w:right w:val="none" w:sz="0" w:space="0" w:color="auto"/>
      </w:divBdr>
      <w:divsChild>
        <w:div w:id="1939216376">
          <w:marLeft w:val="835"/>
          <w:marRight w:val="0"/>
          <w:marTop w:val="43"/>
          <w:marBottom w:val="0"/>
          <w:divBdr>
            <w:top w:val="none" w:sz="0" w:space="0" w:color="auto"/>
            <w:left w:val="none" w:sz="0" w:space="0" w:color="auto"/>
            <w:bottom w:val="none" w:sz="0" w:space="0" w:color="auto"/>
            <w:right w:val="none" w:sz="0" w:space="0" w:color="auto"/>
          </w:divBdr>
        </w:div>
      </w:divsChild>
    </w:div>
    <w:div w:id="344862988">
      <w:bodyDiv w:val="1"/>
      <w:marLeft w:val="0"/>
      <w:marRight w:val="0"/>
      <w:marTop w:val="0"/>
      <w:marBottom w:val="0"/>
      <w:divBdr>
        <w:top w:val="none" w:sz="0" w:space="0" w:color="auto"/>
        <w:left w:val="none" w:sz="0" w:space="0" w:color="auto"/>
        <w:bottom w:val="none" w:sz="0" w:space="0" w:color="auto"/>
        <w:right w:val="none" w:sz="0" w:space="0" w:color="auto"/>
      </w:divBdr>
      <w:divsChild>
        <w:div w:id="534386193">
          <w:marLeft w:val="835"/>
          <w:marRight w:val="0"/>
          <w:marTop w:val="43"/>
          <w:marBottom w:val="0"/>
          <w:divBdr>
            <w:top w:val="none" w:sz="0" w:space="0" w:color="auto"/>
            <w:left w:val="none" w:sz="0" w:space="0" w:color="auto"/>
            <w:bottom w:val="none" w:sz="0" w:space="0" w:color="auto"/>
            <w:right w:val="none" w:sz="0" w:space="0" w:color="auto"/>
          </w:divBdr>
        </w:div>
      </w:divsChild>
    </w:div>
    <w:div w:id="393744885">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72018788">
      <w:bodyDiv w:val="1"/>
      <w:marLeft w:val="0"/>
      <w:marRight w:val="0"/>
      <w:marTop w:val="0"/>
      <w:marBottom w:val="0"/>
      <w:divBdr>
        <w:top w:val="none" w:sz="0" w:space="0" w:color="auto"/>
        <w:left w:val="none" w:sz="0" w:space="0" w:color="auto"/>
        <w:bottom w:val="none" w:sz="0" w:space="0" w:color="auto"/>
        <w:right w:val="none" w:sz="0" w:space="0" w:color="auto"/>
      </w:divBdr>
    </w:div>
    <w:div w:id="899705659">
      <w:bodyDiv w:val="1"/>
      <w:marLeft w:val="0"/>
      <w:marRight w:val="0"/>
      <w:marTop w:val="0"/>
      <w:marBottom w:val="0"/>
      <w:divBdr>
        <w:top w:val="none" w:sz="0" w:space="0" w:color="auto"/>
        <w:left w:val="none" w:sz="0" w:space="0" w:color="auto"/>
        <w:bottom w:val="none" w:sz="0" w:space="0" w:color="auto"/>
        <w:right w:val="none" w:sz="0" w:space="0" w:color="auto"/>
      </w:divBdr>
    </w:div>
    <w:div w:id="1026369931">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756751">
      <w:bodyDiv w:val="1"/>
      <w:marLeft w:val="0"/>
      <w:marRight w:val="0"/>
      <w:marTop w:val="0"/>
      <w:marBottom w:val="0"/>
      <w:divBdr>
        <w:top w:val="none" w:sz="0" w:space="0" w:color="auto"/>
        <w:left w:val="none" w:sz="0" w:space="0" w:color="auto"/>
        <w:bottom w:val="none" w:sz="0" w:space="0" w:color="auto"/>
        <w:right w:val="none" w:sz="0" w:space="0" w:color="auto"/>
      </w:divBdr>
    </w:div>
    <w:div w:id="1125806907">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06715633">
      <w:bodyDiv w:val="1"/>
      <w:marLeft w:val="0"/>
      <w:marRight w:val="0"/>
      <w:marTop w:val="0"/>
      <w:marBottom w:val="0"/>
      <w:divBdr>
        <w:top w:val="none" w:sz="0" w:space="0" w:color="auto"/>
        <w:left w:val="none" w:sz="0" w:space="0" w:color="auto"/>
        <w:bottom w:val="none" w:sz="0" w:space="0" w:color="auto"/>
        <w:right w:val="none" w:sz="0" w:space="0" w:color="auto"/>
      </w:divBdr>
    </w:div>
    <w:div w:id="1366053016">
      <w:bodyDiv w:val="1"/>
      <w:marLeft w:val="0"/>
      <w:marRight w:val="0"/>
      <w:marTop w:val="0"/>
      <w:marBottom w:val="0"/>
      <w:divBdr>
        <w:top w:val="none" w:sz="0" w:space="0" w:color="auto"/>
        <w:left w:val="none" w:sz="0" w:space="0" w:color="auto"/>
        <w:bottom w:val="none" w:sz="0" w:space="0" w:color="auto"/>
        <w:right w:val="none" w:sz="0" w:space="0" w:color="auto"/>
      </w:divBdr>
    </w:div>
    <w:div w:id="1658999278">
      <w:bodyDiv w:val="1"/>
      <w:marLeft w:val="0"/>
      <w:marRight w:val="0"/>
      <w:marTop w:val="0"/>
      <w:marBottom w:val="0"/>
      <w:divBdr>
        <w:top w:val="none" w:sz="0" w:space="0" w:color="auto"/>
        <w:left w:val="none" w:sz="0" w:space="0" w:color="auto"/>
        <w:bottom w:val="none" w:sz="0" w:space="0" w:color="auto"/>
        <w:right w:val="none" w:sz="0" w:space="0" w:color="auto"/>
      </w:divBdr>
    </w:div>
    <w:div w:id="1815874940">
      <w:bodyDiv w:val="1"/>
      <w:marLeft w:val="0"/>
      <w:marRight w:val="0"/>
      <w:marTop w:val="0"/>
      <w:marBottom w:val="0"/>
      <w:divBdr>
        <w:top w:val="none" w:sz="0" w:space="0" w:color="auto"/>
        <w:left w:val="none" w:sz="0" w:space="0" w:color="auto"/>
        <w:bottom w:val="none" w:sz="0" w:space="0" w:color="auto"/>
        <w:right w:val="none" w:sz="0" w:space="0" w:color="auto"/>
      </w:divBdr>
      <w:divsChild>
        <w:div w:id="993266251">
          <w:marLeft w:val="835"/>
          <w:marRight w:val="0"/>
          <w:marTop w:val="43"/>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49657269">
      <w:bodyDiv w:val="1"/>
      <w:marLeft w:val="0"/>
      <w:marRight w:val="0"/>
      <w:marTop w:val="0"/>
      <w:marBottom w:val="0"/>
      <w:divBdr>
        <w:top w:val="none" w:sz="0" w:space="0" w:color="auto"/>
        <w:left w:val="none" w:sz="0" w:space="0" w:color="auto"/>
        <w:bottom w:val="none" w:sz="0" w:space="0" w:color="auto"/>
        <w:right w:val="none" w:sz="0" w:space="0" w:color="auto"/>
      </w:divBdr>
      <w:divsChild>
        <w:div w:id="226572855">
          <w:marLeft w:val="835"/>
          <w:marRight w:val="0"/>
          <w:marTop w:val="43"/>
          <w:marBottom w:val="0"/>
          <w:divBdr>
            <w:top w:val="none" w:sz="0" w:space="0" w:color="auto"/>
            <w:left w:val="none" w:sz="0" w:space="0" w:color="auto"/>
            <w:bottom w:val="none" w:sz="0" w:space="0" w:color="auto"/>
            <w:right w:val="none" w:sz="0" w:space="0" w:color="auto"/>
          </w:divBdr>
        </w:div>
        <w:div w:id="418409593">
          <w:marLeft w:val="1411"/>
          <w:marRight w:val="0"/>
          <w:marTop w:val="38"/>
          <w:marBottom w:val="0"/>
          <w:divBdr>
            <w:top w:val="none" w:sz="0" w:space="0" w:color="auto"/>
            <w:left w:val="none" w:sz="0" w:space="0" w:color="auto"/>
            <w:bottom w:val="none" w:sz="0" w:space="0" w:color="auto"/>
            <w:right w:val="none" w:sz="0" w:space="0" w:color="auto"/>
          </w:divBdr>
        </w:div>
        <w:div w:id="995962839">
          <w:marLeft w:val="835"/>
          <w:marRight w:val="0"/>
          <w:marTop w:val="43"/>
          <w:marBottom w:val="0"/>
          <w:divBdr>
            <w:top w:val="none" w:sz="0" w:space="0" w:color="auto"/>
            <w:left w:val="none" w:sz="0" w:space="0" w:color="auto"/>
            <w:bottom w:val="none" w:sz="0" w:space="0" w:color="auto"/>
            <w:right w:val="none" w:sz="0" w:space="0" w:color="auto"/>
          </w:divBdr>
        </w:div>
      </w:divsChild>
    </w:div>
    <w:div w:id="2008901130">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12161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07bis/Docs/r2-1913685.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ran/WG2_RL2//TSGR2_107/Docs/R2-191180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2_RL2//TSGR2_107/Docs/R2-1911023.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tsg_ran/WG2_RL2//TSGR2_107/Docs/R2-191161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1865B1-0D8C-4B3E-832A-10847C3301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7BAE76-B072-464D-956A-D1672EA87D64}">
  <ds:schemaRefs>
    <ds:schemaRef ds:uri="http://schemas.microsoft.com/sharepoint/v3/contenttype/forms"/>
  </ds:schemaRefs>
</ds:datastoreItem>
</file>

<file path=customXml/itemProps3.xml><?xml version="1.0" encoding="utf-8"?>
<ds:datastoreItem xmlns:ds="http://schemas.openxmlformats.org/officeDocument/2006/customXml" ds:itemID="{865B7EAD-29A0-4A3F-8E3C-15DB68A3F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689</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5</cp:revision>
  <cp:lastPrinted>2009-10-21T14:47:00Z</cp:lastPrinted>
  <dcterms:created xsi:type="dcterms:W3CDTF">2019-10-04T03:05:00Z</dcterms:created>
  <dcterms:modified xsi:type="dcterms:W3CDTF">2019-10-04T06:45:00Z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